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DD41E4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 xml:space="preserve">DOHODA O VYKONANÍ PRÁCE 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134FED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070651" w:rsidRPr="00602B72" w:rsidRDefault="00134FED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E337B8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  <w:bookmarkStart w:id="0" w:name="_GoBack"/>
      <w:bookmarkEnd w:id="0"/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34FED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D41E4"/>
    <w:rsid w:val="00DF4B1B"/>
    <w:rsid w:val="00E10E30"/>
    <w:rsid w:val="00E337B8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CE5F2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A4BD-0735-4D43-9DCC-B1C9923F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4</cp:revision>
  <cp:lastPrinted>2013-01-28T06:18:00Z</cp:lastPrinted>
  <dcterms:created xsi:type="dcterms:W3CDTF">2018-06-19T06:45:00Z</dcterms:created>
  <dcterms:modified xsi:type="dcterms:W3CDTF">2018-08-21T08:04:00Z</dcterms:modified>
</cp:coreProperties>
</file>